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BD4921">
      <w:pPr>
        <w:spacing w:line="360" w:lineRule="auto"/>
        <w:ind w:right="25" w:rightChars="12"/>
        <w:rPr>
          <w:rFonts w:hint="eastAsia" w:ascii="黑体" w:hAnsi="黑体" w:eastAsia="黑体" w:cs="黑体"/>
          <w:color w:val="000000"/>
          <w:sz w:val="32"/>
          <w:szCs w:val="32"/>
          <w:lang w:eastAsia="zh-CN"/>
        </w:rPr>
      </w:pPr>
      <w:bookmarkStart w:id="0" w:name="_GoBack"/>
      <w:bookmarkEnd w:id="0"/>
      <w:r>
        <w:rPr>
          <w:rFonts w:hint="eastAsia" w:ascii="黑体" w:hAnsi="黑体" w:eastAsia="黑体" w:cs="黑体"/>
          <w:color w:val="000000"/>
          <w:sz w:val="32"/>
          <w:szCs w:val="32"/>
        </w:rPr>
        <w:t>附件</w:t>
      </w:r>
      <w:r>
        <w:rPr>
          <w:rFonts w:hint="eastAsia" w:ascii="黑体" w:hAnsi="黑体" w:eastAsia="黑体" w:cs="黑体"/>
          <w:color w:val="000000"/>
          <w:sz w:val="32"/>
          <w:szCs w:val="32"/>
          <w:lang w:val="en-US" w:eastAsia="zh-CN"/>
        </w:rPr>
        <w:t>1</w:t>
      </w:r>
    </w:p>
    <w:p w14:paraId="5A8C0DD0">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p>
    <w:p w14:paraId="5148D7C6">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2026年度铸牢中华民族共同体意识</w:t>
      </w:r>
    </w:p>
    <w:p w14:paraId="118E05BD">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32"/>
          <w:lang w:val="en-US" w:eastAsia="zh-CN"/>
        </w:rPr>
      </w:pPr>
      <w:r>
        <w:rPr>
          <w:rFonts w:hint="eastAsia" w:ascii="方正小标宋简体" w:hAnsi="方正小标宋简体" w:eastAsia="方正小标宋简体" w:cs="方正小标宋简体"/>
          <w:sz w:val="44"/>
          <w:szCs w:val="44"/>
          <w:lang w:val="en-US" w:eastAsia="zh-CN"/>
        </w:rPr>
        <w:t>研究项目</w:t>
      </w:r>
      <w:r>
        <w:rPr>
          <w:rFonts w:hint="eastAsia" w:ascii="方正小标宋简体" w:hAnsi="方正小标宋简体" w:eastAsia="方正小标宋简体" w:cs="方正小标宋简体"/>
          <w:sz w:val="44"/>
          <w:szCs w:val="44"/>
        </w:rPr>
        <w:t>课题指南</w:t>
      </w:r>
    </w:p>
    <w:p w14:paraId="626B89B9">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p>
    <w:p w14:paraId="5AEE3023">
      <w:pPr>
        <w:pStyle w:val="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220" w:leftChars="0" w:right="0" w:firstLine="640" w:firstLineChars="0"/>
        <w:textAlignment w:val="baseline"/>
        <w:rPr>
          <w:rFonts w:hint="eastAsia" w:ascii="国标黑体" w:hAnsi="国标黑体" w:eastAsia="国标黑体" w:cs="国标黑体"/>
          <w:i w:val="0"/>
          <w:iCs w:val="0"/>
          <w:caps w:val="0"/>
          <w:color w:val="404040"/>
          <w:spacing w:val="0"/>
          <w:sz w:val="32"/>
          <w:szCs w:val="32"/>
          <w:shd w:val="clear" w:color="auto" w:fill="FFFFFF"/>
          <w:vertAlign w:val="baseline"/>
          <w:lang w:eastAsia="zh-CN"/>
        </w:rPr>
      </w:pPr>
      <w:r>
        <w:rPr>
          <w:rFonts w:hint="default" w:ascii="国标黑体" w:hAnsi="国标黑体" w:eastAsia="国标黑体" w:cs="国标黑体"/>
          <w:i w:val="0"/>
          <w:iCs w:val="0"/>
          <w:caps w:val="0"/>
          <w:color w:val="404040"/>
          <w:spacing w:val="0"/>
          <w:sz w:val="32"/>
          <w:szCs w:val="32"/>
          <w:shd w:val="clear" w:color="auto" w:fill="FFFFFF"/>
          <w:vertAlign w:val="baseline"/>
          <w:lang w:eastAsia="zh-CN"/>
        </w:rPr>
        <w:t>重点项目</w:t>
      </w:r>
    </w:p>
    <w:p w14:paraId="28A88DA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有形有感有效铸牢中华民族共同体意识基层实践案例研究</w:t>
      </w:r>
    </w:p>
    <w:p w14:paraId="24BDB74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eastAsia="zh-CN"/>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甘肃推进中华民族共同体建设资源探索及多模态资源库建设</w:t>
      </w:r>
    </w:p>
    <w:p w14:paraId="4C81ECE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default" w:ascii="仿宋_GB2312" w:hAnsi="仿宋_GB2312" w:eastAsia="仿宋_GB2312" w:cs="仿宋_GB2312"/>
          <w:sz w:val="32"/>
          <w:szCs w:val="32"/>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赋予民族地区改革发展“三个意义”的理论政策和实践研究</w:t>
      </w:r>
    </w:p>
    <w:p w14:paraId="194CF79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default" w:ascii="仿宋_GB2312" w:hAnsi="仿宋_GB2312" w:eastAsia="仿宋_GB2312" w:cs="仿宋_GB2312"/>
          <w:sz w:val="32"/>
          <w:szCs w:val="32"/>
        </w:rPr>
        <w:t>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全省民族地区构建互嵌式社会结构和社区环境实践路径研究</w:t>
      </w:r>
    </w:p>
    <w:p w14:paraId="291C848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default" w:ascii="仿宋_GB2312" w:hAnsi="仿宋_GB2312" w:eastAsia="仿宋_GB2312" w:cs="仿宋_GB2312"/>
          <w:sz w:val="32"/>
          <w:szCs w:val="32"/>
        </w:rPr>
        <w:t>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从“差异化管理”到“精准化服务”：城市民族工作政策法规调整路径研究</w:t>
      </w:r>
    </w:p>
    <w:p w14:paraId="54730CB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rPr>
        <w:t>6</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洮河流域民族交往交流交融历史研究</w:t>
      </w:r>
    </w:p>
    <w:p w14:paraId="315DF25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二、一般项目</w:t>
      </w:r>
    </w:p>
    <w:p w14:paraId="78CBF9D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default" w:ascii="仿宋_GB2312" w:hAnsi="仿宋_GB2312" w:eastAsia="仿宋_GB2312" w:cs="仿宋_GB2312"/>
          <w:sz w:val="32"/>
          <w:szCs w:val="32"/>
        </w:rPr>
        <w:t>7</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“互联网+铸牢”的分众化、精准化、差异化研究</w:t>
      </w:r>
    </w:p>
    <w:p w14:paraId="5B8F96FB">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baseline"/>
        <w:rPr>
          <w:rFonts w:hint="eastAsia" w:ascii="仿宋_GB2312" w:hAnsi="仿宋_GB2312" w:eastAsia="仿宋_GB2312" w:cs="仿宋_GB2312"/>
          <w:sz w:val="32"/>
          <w:szCs w:val="32"/>
        </w:rPr>
      </w:pPr>
      <w:r>
        <w:rPr>
          <w:rFonts w:hint="default" w:ascii="仿宋_GB2312" w:hAnsi="仿宋_GB2312" w:eastAsia="仿宋_GB2312" w:cs="仿宋_GB2312"/>
          <w:sz w:val="32"/>
          <w:szCs w:val="32"/>
          <w:lang w:eastAsia="zh-CN"/>
        </w:rPr>
        <w:t>8</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各民族交往交流交融有效载体路径研究</w:t>
      </w:r>
    </w:p>
    <w:p w14:paraId="683B117B">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baseline"/>
        <w:rPr>
          <w:rFonts w:hint="eastAsia" w:ascii="仿宋_GB2312" w:hAnsi="仿宋_GB2312" w:eastAsia="仿宋_GB2312" w:cs="仿宋_GB2312"/>
          <w:sz w:val="32"/>
          <w:szCs w:val="32"/>
        </w:rPr>
      </w:pPr>
      <w:r>
        <w:rPr>
          <w:rFonts w:hint="default" w:ascii="仿宋_GB2312" w:hAnsi="仿宋_GB2312" w:eastAsia="仿宋_GB2312" w:cs="仿宋_GB2312"/>
          <w:sz w:val="32"/>
          <w:szCs w:val="32"/>
          <w:lang w:eastAsia="zh-CN"/>
        </w:rPr>
        <w:t>9</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增进中华文化认同和各民族文化传承保护及交融创新研究</w:t>
      </w:r>
    </w:p>
    <w:p w14:paraId="1BD7CA7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default" w:ascii="仿宋_GB2312" w:hAnsi="仿宋_GB2312" w:eastAsia="仿宋_GB2312" w:cs="仿宋_GB2312"/>
          <w:sz w:val="32"/>
          <w:szCs w:val="32"/>
          <w:lang w:eastAsia="zh-CN"/>
        </w:rPr>
        <w:t>10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中华民族共同体叙事挖掘与当代传播路径研究</w:t>
      </w:r>
    </w:p>
    <w:p w14:paraId="7068E3C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default" w:ascii="仿宋_GB2312" w:hAnsi="仿宋_GB2312" w:eastAsia="仿宋_GB2312" w:cs="仿宋_GB2312"/>
          <w:sz w:val="32"/>
          <w:szCs w:val="32"/>
          <w:lang w:eastAsia="zh-CN"/>
        </w:rPr>
        <w:t>11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甘南州建设铸牢中华民族共同体意识样板区实现路径和实践研究</w:t>
      </w:r>
    </w:p>
    <w:p w14:paraId="5F8FC9A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default" w:ascii="仿宋_GB2312" w:hAnsi="仿宋_GB2312" w:eastAsia="仿宋_GB2312" w:cs="仿宋_GB2312"/>
          <w:sz w:val="32"/>
          <w:szCs w:val="32"/>
          <w:lang w:eastAsia="zh-CN"/>
        </w:rPr>
        <w:t>12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文博场所在铸牢中华民族共同体意识宣传教育中的价值与活化利用研究</w:t>
      </w:r>
    </w:p>
    <w:p w14:paraId="6DFAACC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right="0" w:firstLine="640" w:firstLineChars="200"/>
        <w:textAlignment w:val="baseline"/>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eastAsia="zh-CN"/>
        </w:rPr>
        <w:t>13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甘肃中华文化符号体系梳理与认同聚合效能提升路径研究</w:t>
      </w:r>
    </w:p>
    <w:p w14:paraId="0015FB6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default" w:ascii="仿宋_GB2312" w:hAnsi="仿宋_GB2312" w:eastAsia="仿宋_GB2312" w:cs="仿宋_GB2312"/>
          <w:sz w:val="32"/>
          <w:szCs w:val="32"/>
        </w:rPr>
        <w:t>14</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构建民族地区特色和优势现代产业体系研究</w:t>
      </w:r>
    </w:p>
    <w:p w14:paraId="2B58B74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default" w:ascii="仿宋_GB2312" w:hAnsi="仿宋_GB2312" w:eastAsia="仿宋_GB2312" w:cs="仿宋_GB2312"/>
          <w:sz w:val="32"/>
          <w:szCs w:val="32"/>
          <w:lang w:eastAsia="zh-CN"/>
        </w:rPr>
        <w:t>15</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铸牢中华民族共同体意识与我省文化资源融合新途径研究</w:t>
      </w:r>
    </w:p>
    <w:p w14:paraId="1B5F702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eastAsia="zh-CN"/>
        </w:rPr>
        <w:t>16</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明代洮河流域僧团与汉藏民族交融实践研究</w:t>
      </w:r>
    </w:p>
    <w:p w14:paraId="47FCA21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eastAsia="zh-CN"/>
        </w:rPr>
        <w:t>17</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有序推动各民族流动融居实践路径研究</w:t>
      </w:r>
    </w:p>
    <w:p w14:paraId="765863B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default" w:ascii="仿宋_GB2312" w:hAnsi="仿宋_GB2312" w:eastAsia="仿宋_GB2312" w:cs="仿宋_GB2312"/>
          <w:sz w:val="32"/>
          <w:szCs w:val="32"/>
          <w:lang w:eastAsia="zh-CN"/>
        </w:rPr>
        <w:t>18</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铸牢中华民族共同体意识制度机制实践创新研究</w:t>
      </w:r>
    </w:p>
    <w:p w14:paraId="5E1CBAE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default" w:ascii="仿宋_GB2312" w:hAnsi="仿宋_GB2312" w:eastAsia="仿宋_GB2312" w:cs="仿宋_GB2312"/>
          <w:sz w:val="32"/>
          <w:szCs w:val="32"/>
          <w:lang w:eastAsia="zh-CN"/>
        </w:rPr>
        <w:t>19</w:t>
      </w:r>
      <w:r>
        <w:rPr>
          <w:rFonts w:hint="eastAsia" w:ascii="仿宋_GB2312" w:hAnsi="仿宋_GB2312" w:eastAsia="仿宋_GB2312" w:cs="仿宋_GB2312"/>
          <w:sz w:val="32"/>
          <w:szCs w:val="32"/>
          <w:lang w:eastAsia="zh-CN"/>
        </w:rPr>
        <w:t>.铸</w:t>
      </w:r>
      <w:r>
        <w:rPr>
          <w:rFonts w:hint="eastAsia" w:ascii="仿宋_GB2312" w:hAnsi="仿宋_GB2312" w:eastAsia="仿宋_GB2312" w:cs="仿宋_GB2312"/>
          <w:sz w:val="32"/>
          <w:szCs w:val="32"/>
        </w:rPr>
        <w:t>牢中华民族共同体意识融入基层治理体系研究</w:t>
      </w:r>
    </w:p>
    <w:p w14:paraId="5D17241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default"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eastAsia="zh-CN"/>
        </w:rPr>
        <w:t>.全省民族团结进步创建与中心工作深度融合机制研究</w:t>
      </w:r>
    </w:p>
    <w:p w14:paraId="6926546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default" w:ascii="仿宋_GB2312" w:hAnsi="仿宋_GB2312" w:eastAsia="仿宋_GB2312" w:cs="仿宋_GB2312"/>
          <w:sz w:val="32"/>
          <w:szCs w:val="32"/>
          <w:lang w:eastAsia="zh-CN"/>
        </w:rPr>
        <w:t>21</w:t>
      </w:r>
      <w:r>
        <w:rPr>
          <w:rFonts w:hint="eastAsia" w:ascii="仿宋_GB2312" w:hAnsi="仿宋_GB2312" w:eastAsia="仿宋_GB2312" w:cs="仿宋_GB2312"/>
          <w:sz w:val="32"/>
          <w:szCs w:val="32"/>
          <w:lang w:eastAsia="zh-CN"/>
        </w:rPr>
        <w:t>.民</w:t>
      </w:r>
      <w:r>
        <w:rPr>
          <w:rFonts w:hint="eastAsia" w:ascii="仿宋_GB2312" w:hAnsi="仿宋_GB2312" w:eastAsia="仿宋_GB2312" w:cs="仿宋_GB2312"/>
          <w:sz w:val="32"/>
          <w:szCs w:val="32"/>
        </w:rPr>
        <w:t>族地区精准化、差异化普法机制创新研究</w:t>
      </w:r>
    </w:p>
    <w:p w14:paraId="4D5ABCC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default" w:ascii="仿宋_GB2312" w:hAnsi="仿宋_GB2312" w:eastAsia="仿宋_GB2312" w:cs="仿宋_GB2312"/>
          <w:sz w:val="32"/>
          <w:szCs w:val="32"/>
          <w:lang w:eastAsia="zh-CN"/>
        </w:rPr>
        <w:t>22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普法宣传与铸牢中华民族共同体意识教育融合路径研究</w:t>
      </w:r>
    </w:p>
    <w:p w14:paraId="7E0CC3B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eastAsia="zh-CN"/>
        </w:rPr>
        <w:t>23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少数民族流动人口服务管理研究</w:t>
      </w:r>
    </w:p>
    <w:p w14:paraId="6E0CCB8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default" w:ascii="仿宋_GB2312" w:hAnsi="仿宋_GB2312" w:eastAsia="仿宋_GB2312" w:cs="仿宋_GB2312"/>
          <w:sz w:val="32"/>
          <w:szCs w:val="32"/>
          <w:lang w:eastAsia="zh-CN"/>
        </w:rPr>
        <w:t>24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当代网络环境下涉民族因素的舆情与突发事件的应对策略和制度研究</w:t>
      </w:r>
    </w:p>
    <w:p w14:paraId="15DF080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eastAsia="zh-CN"/>
        </w:rPr>
        <w:t>25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民族事务矛盾纠纷多元预防</w:t>
      </w:r>
      <w:r>
        <w:rPr>
          <w:rFonts w:hint="eastAsia" w:ascii="仿宋_GB2312" w:hAnsi="仿宋_GB2312" w:eastAsia="仿宋_GB2312" w:cs="仿宋_GB2312"/>
          <w:sz w:val="32"/>
          <w:szCs w:val="32"/>
          <w:lang w:eastAsia="zh-CN"/>
        </w:rPr>
        <w:t>依法</w:t>
      </w:r>
      <w:r>
        <w:rPr>
          <w:rFonts w:hint="eastAsia" w:ascii="仿宋_GB2312" w:hAnsi="仿宋_GB2312" w:eastAsia="仿宋_GB2312" w:cs="仿宋_GB2312"/>
          <w:sz w:val="32"/>
          <w:szCs w:val="32"/>
        </w:rPr>
        <w:t>调处化解的“甘肃模式”研究</w:t>
      </w:r>
    </w:p>
    <w:p w14:paraId="2A75C27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i w:val="0"/>
          <w:iCs w:val="0"/>
          <w:caps w:val="0"/>
          <w:color w:val="404040"/>
          <w:spacing w:val="0"/>
          <w:sz w:val="32"/>
          <w:szCs w:val="32"/>
          <w:shd w:val="clear" w:color="auto" w:fill="FFFFFF"/>
          <w:vertAlign w:val="baseline"/>
          <w:lang w:eastAsia="zh-CN"/>
        </w:rPr>
        <w:t>2</w:t>
      </w:r>
      <w:r>
        <w:rPr>
          <w:rFonts w:hint="default" w:ascii="仿宋_GB2312" w:hAnsi="仿宋_GB2312" w:eastAsia="仿宋_GB2312" w:cs="仿宋_GB2312"/>
          <w:i w:val="0"/>
          <w:iCs w:val="0"/>
          <w:caps w:val="0"/>
          <w:color w:val="404040"/>
          <w:spacing w:val="0"/>
          <w:sz w:val="32"/>
          <w:szCs w:val="32"/>
          <w:shd w:val="clear" w:color="auto" w:fill="FFFFFF"/>
          <w:vertAlign w:val="baseline"/>
          <w:lang w:eastAsia="zh-CN"/>
        </w:rPr>
        <w:t>6</w:t>
      </w:r>
      <w:r>
        <w:rPr>
          <w:rFonts w:hint="eastAsia" w:ascii="仿宋_GB2312" w:hAnsi="仿宋_GB2312" w:eastAsia="仿宋_GB2312" w:cs="仿宋_GB2312"/>
          <w:i w:val="0"/>
          <w:iCs w:val="0"/>
          <w:caps w:val="0"/>
          <w:color w:val="404040"/>
          <w:spacing w:val="0"/>
          <w:sz w:val="32"/>
          <w:szCs w:val="32"/>
          <w:shd w:val="clear" w:color="auto" w:fill="FFFFFF"/>
          <w:vertAlign w:val="baseline"/>
          <w:lang w:eastAsia="zh-CN"/>
        </w:rPr>
        <w:t>.</w:t>
      </w:r>
      <w:r>
        <w:rPr>
          <w:rFonts w:hint="eastAsia" w:ascii="仿宋_GB2312" w:hAnsi="仿宋_GB2312" w:eastAsia="仿宋_GB2312" w:cs="仿宋_GB2312"/>
          <w:sz w:val="32"/>
          <w:szCs w:val="32"/>
          <w:lang w:val="en-US" w:eastAsia="zh-CN"/>
        </w:rPr>
        <w:t>甘肃各民族交往交流交融重大历史事件、重要历史人物、重要历史文物梳理研究</w:t>
      </w:r>
    </w:p>
    <w:p w14:paraId="43D6614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eastAsia="zh-CN"/>
        </w:rPr>
        <w:t>27</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加快构建中华民族共同体史料体系建设研究--以甘肃三交史研究为例</w:t>
      </w:r>
    </w:p>
    <w:p w14:paraId="0CFE73B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eastAsia="zh-CN"/>
        </w:rPr>
        <w:t>28</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先秦至秦汉时期甘肃各民族迁徙融合与中华民族共同体雏形构建研究</w:t>
      </w:r>
    </w:p>
    <w:p w14:paraId="1567840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eastAsia="zh-CN"/>
        </w:rPr>
        <w:t>29</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魏晋南北朝时期甘肃多民族政权更迭中的文化交流与中华民族共有精神家园初步形成研究</w:t>
      </w:r>
    </w:p>
    <w:p w14:paraId="479A0B9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eastAsia="zh-CN"/>
        </w:rPr>
        <w:t>30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元明清时期甘肃土司制度对各民族交流交往交融研究</w:t>
      </w:r>
    </w:p>
    <w:p w14:paraId="764C9A2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eastAsia="zh-CN"/>
        </w:rPr>
        <w:t>31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数智赋能甘肃各民族“三交”史叙事的创新构建与青年群体传播研究</w:t>
      </w:r>
    </w:p>
    <w:p w14:paraId="1D96FC5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default" w:ascii="仿宋_GB2312" w:hAnsi="仿宋_GB2312" w:eastAsia="仿宋_GB2312" w:cs="仿宋_GB2312"/>
          <w:sz w:val="32"/>
          <w:szCs w:val="32"/>
          <w:lang w:eastAsia="zh-CN"/>
        </w:rPr>
        <w:t>32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凉州会盟的当代性诠释：多民族治理的历史记忆与中华民族共同体的话语建构</w:t>
      </w:r>
    </w:p>
    <w:p w14:paraId="47D951F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default" w:ascii="仿宋_GB2312" w:hAnsi="仿宋_GB2312" w:eastAsia="仿宋_GB2312" w:cs="仿宋_GB2312"/>
          <w:sz w:val="32"/>
          <w:szCs w:val="32"/>
          <w:lang w:eastAsia="zh-CN"/>
        </w:rPr>
        <w:t>33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八思巴与临洮：元代上层僧侣的多民族交往交流交融实践与文化互鉴研究</w:t>
      </w:r>
    </w:p>
    <w:p w14:paraId="68BDB8D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baseline"/>
        <w:rPr>
          <w:rFonts w:hint="eastAsia" w:ascii="仿宋_GB2312" w:hAnsi="仿宋_GB2312" w:eastAsia="仿宋_GB2312" w:cs="仿宋_GB2312"/>
          <w:sz w:val="32"/>
          <w:szCs w:val="32"/>
        </w:rPr>
      </w:pPr>
      <w:r>
        <w:rPr>
          <w:rFonts w:hint="default" w:ascii="仿宋_GB2312" w:hAnsi="仿宋_GB2312" w:eastAsia="仿宋_GB2312" w:cs="仿宋_GB2312"/>
          <w:sz w:val="32"/>
          <w:szCs w:val="32"/>
          <w:lang w:eastAsia="zh-CN"/>
        </w:rPr>
        <w:t>34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临夏河州“茶马互市”遗址群与多民族经济共同体形成研究</w:t>
      </w:r>
    </w:p>
    <w:p w14:paraId="470C8B7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baseline"/>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eastAsia="zh-CN"/>
        </w:rPr>
        <w:t>35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河西走廊散藏藏文古籍数字化保护与各民族“三交”史实研究</w:t>
      </w:r>
    </w:p>
    <w:p w14:paraId="53E86DF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baseline"/>
        <w:rPr>
          <w:rFonts w:hint="default" w:ascii="仿宋_GB2312" w:hAnsi="仿宋_GB2312" w:eastAsia="仿宋_GB2312" w:cs="仿宋_GB2312"/>
          <w:sz w:val="32"/>
          <w:szCs w:val="32"/>
          <w:lang w:eastAsia="zh-CN"/>
        </w:rPr>
      </w:pPr>
    </w:p>
    <w:p w14:paraId="0C77EAC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baseline"/>
        <w:rPr>
          <w:rFonts w:hint="default" w:ascii="仿宋_GB2312" w:hAnsi="仿宋_GB2312" w:eastAsia="仿宋_GB2312" w:cs="仿宋_GB2312"/>
          <w:sz w:val="32"/>
          <w:szCs w:val="32"/>
          <w:lang w:eastAsia="zh-CN"/>
        </w:rPr>
      </w:pPr>
      <w:r>
        <w:rPr>
          <w:rFonts w:hint="default" w:ascii="仿宋_GB2312" w:hAnsi="仿宋_GB2312" w:eastAsia="仿宋_GB2312" w:cs="仿宋_GB2312"/>
          <w:sz w:val="32"/>
          <w:szCs w:val="32"/>
          <w:lang w:eastAsia="zh-CN"/>
        </w:rPr>
        <w:t>（26—35为三交史转化专项）</w:t>
      </w:r>
    </w:p>
    <w:sectPr>
      <w:footerReference r:id="rId3" w:type="default"/>
      <w:pgSz w:w="11906" w:h="16838"/>
      <w:pgMar w:top="2098" w:right="1474" w:bottom="1984" w:left="1587" w:header="851" w:footer="992" w:gutter="0"/>
      <w:pgNumType w:fmt="numberInDash" w:start="6"/>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黑体"/>
    <w:panose1 w:val="02000000000000000000"/>
    <w:charset w:val="86"/>
    <w:family w:val="auto"/>
    <w:pitch w:val="default"/>
    <w:sig w:usb0="A00002BF" w:usb1="184F6CFA" w:usb2="00000012" w:usb3="00000000" w:csb0="00040001" w:csb1="00000000"/>
  </w:font>
  <w:font w:name="仿宋_GB2312">
    <w:altName w:val="仿宋"/>
    <w:panose1 w:val="02010609030101010101"/>
    <w:charset w:val="86"/>
    <w:family w:val="auto"/>
    <w:pitch w:val="default"/>
    <w:sig w:usb0="00000001" w:usb1="080E0000" w:usb2="00000000" w:usb3="00000000" w:csb0="00040000" w:csb1="00000000"/>
  </w:font>
  <w:font w:name="国标黑体">
    <w:altName w:val="黑体"/>
    <w:panose1 w:val="02000500000000000000"/>
    <w:charset w:val="86"/>
    <w:family w:val="auto"/>
    <w:pitch w:val="default"/>
    <w:sig w:usb0="00000001" w:usb1="08000000" w:usb2="00000000" w:usb3="00000000" w:csb0="00040000" w:csb1="00000000"/>
  </w:font>
  <w:font w:name="KSOF439EEF50">
    <w:panose1 w:val="02010609060101010101"/>
    <w:charset w:val="86"/>
    <w:family w:val="auto"/>
    <w:pitch w:val="default"/>
    <w:sig w:usb0="00000001"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797991">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1E71CD3">
                          <w:pPr>
                            <w:pStyle w:val="2"/>
                            <w:rPr>
                              <w:sz w:val="28"/>
                              <w:szCs w:val="44"/>
                            </w:rPr>
                          </w:pPr>
                          <w:r>
                            <w:rPr>
                              <w:rFonts w:hint="eastAsia" w:ascii="宋体" w:hAnsi="宋体" w:eastAsia="宋体" w:cs="宋体"/>
                              <w:sz w:val="28"/>
                              <w:szCs w:val="44"/>
                            </w:rPr>
                            <w:fldChar w:fldCharType="begin"/>
                          </w:r>
                          <w:r>
                            <w:rPr>
                              <w:rFonts w:hint="eastAsia" w:ascii="宋体" w:hAnsi="宋体" w:eastAsia="宋体" w:cs="宋体"/>
                              <w:sz w:val="28"/>
                              <w:szCs w:val="44"/>
                            </w:rPr>
                            <w:instrText xml:space="preserve"> PAGE  \* MERGEFORMAT </w:instrText>
                          </w:r>
                          <w:r>
                            <w:rPr>
                              <w:rFonts w:hint="eastAsia" w:ascii="宋体" w:hAnsi="宋体" w:eastAsia="宋体" w:cs="宋体"/>
                              <w:sz w:val="28"/>
                              <w:szCs w:val="44"/>
                            </w:rPr>
                            <w:fldChar w:fldCharType="separate"/>
                          </w:r>
                          <w:r>
                            <w:rPr>
                              <w:rFonts w:hint="eastAsia" w:ascii="宋体" w:hAnsi="宋体" w:eastAsia="宋体" w:cs="宋体"/>
                              <w:sz w:val="28"/>
                              <w:szCs w:val="44"/>
                            </w:rPr>
                            <w:t>6</w:t>
                          </w:r>
                          <w:r>
                            <w:rPr>
                              <w:rFonts w:hint="eastAsia" w:ascii="宋体" w:hAnsi="宋体" w:eastAsia="宋体" w:cs="宋体"/>
                              <w:sz w:val="28"/>
                              <w:szCs w:val="44"/>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11E71CD3">
                    <w:pPr>
                      <w:pStyle w:val="2"/>
                      <w:rPr>
                        <w:sz w:val="28"/>
                        <w:szCs w:val="44"/>
                      </w:rPr>
                    </w:pPr>
                    <w:r>
                      <w:rPr>
                        <w:rFonts w:hint="eastAsia" w:ascii="宋体" w:hAnsi="宋体" w:eastAsia="宋体" w:cs="宋体"/>
                        <w:sz w:val="28"/>
                        <w:szCs w:val="44"/>
                      </w:rPr>
                      <w:fldChar w:fldCharType="begin"/>
                    </w:r>
                    <w:r>
                      <w:rPr>
                        <w:rFonts w:hint="eastAsia" w:ascii="宋体" w:hAnsi="宋体" w:eastAsia="宋体" w:cs="宋体"/>
                        <w:sz w:val="28"/>
                        <w:szCs w:val="44"/>
                      </w:rPr>
                      <w:instrText xml:space="preserve"> PAGE  \* MERGEFORMAT </w:instrText>
                    </w:r>
                    <w:r>
                      <w:rPr>
                        <w:rFonts w:hint="eastAsia" w:ascii="宋体" w:hAnsi="宋体" w:eastAsia="宋体" w:cs="宋体"/>
                        <w:sz w:val="28"/>
                        <w:szCs w:val="44"/>
                      </w:rPr>
                      <w:fldChar w:fldCharType="separate"/>
                    </w:r>
                    <w:r>
                      <w:rPr>
                        <w:rFonts w:hint="eastAsia" w:ascii="宋体" w:hAnsi="宋体" w:eastAsia="宋体" w:cs="宋体"/>
                        <w:sz w:val="28"/>
                        <w:szCs w:val="44"/>
                      </w:rPr>
                      <w:t>6</w:t>
                    </w:r>
                    <w:r>
                      <w:rPr>
                        <w:rFonts w:hint="eastAsia" w:ascii="宋体" w:hAnsi="宋体" w:eastAsia="宋体" w:cs="宋体"/>
                        <w:sz w:val="28"/>
                        <w:szCs w:val="44"/>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FF5D7D"/>
    <w:multiLevelType w:val="singleLevel"/>
    <w:tmpl w:val="FBFF5D7D"/>
    <w:lvl w:ilvl="0" w:tentative="0">
      <w:start w:val="1"/>
      <w:numFmt w:val="chineseCounting"/>
      <w:suff w:val="nothing"/>
      <w:lvlText w:val="%1、"/>
      <w:lvlJc w:val="left"/>
      <w:pPr>
        <w:ind w:left="-2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C53FA6FB"/>
    <w:rsid w:val="11AA0AAA"/>
    <w:rsid w:val="1B4C7A91"/>
    <w:rsid w:val="1F6E7D52"/>
    <w:rsid w:val="3DC6AC27"/>
    <w:rsid w:val="4EF79885"/>
    <w:rsid w:val="4FF32383"/>
    <w:rsid w:val="5FD7BA00"/>
    <w:rsid w:val="61B8319E"/>
    <w:rsid w:val="67772910"/>
    <w:rsid w:val="6C3F0AA6"/>
    <w:rsid w:val="6DFE5F40"/>
    <w:rsid w:val="6EF974F5"/>
    <w:rsid w:val="773B94F5"/>
    <w:rsid w:val="7EEF1654"/>
    <w:rsid w:val="7FF5FA40"/>
    <w:rsid w:val="7FFE89CC"/>
    <w:rsid w:val="ABCF7098"/>
    <w:rsid w:val="BAFCA97D"/>
    <w:rsid w:val="C53FA6FB"/>
    <w:rsid w:val="D3CFE4B0"/>
    <w:rsid w:val="EFE7A3AC"/>
    <w:rsid w:val="EFEF0084"/>
    <w:rsid w:val="F4B3EDC8"/>
    <w:rsid w:val="F66FC890"/>
    <w:rsid w:val="FBAF67F5"/>
    <w:rsid w:val="FDBB4ACB"/>
    <w:rsid w:val="FDFFE935"/>
    <w:rsid w:val="FEB7DE93"/>
    <w:rsid w:val="FEEDE72F"/>
    <w:rsid w:val="FFACC3E8"/>
    <w:rsid w:val="FFAD6F51"/>
    <w:rsid w:val="FFDF9230"/>
    <w:rsid w:val="FFF55C9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Style w:val="5"/>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968</Words>
  <Characters>1035</Characters>
  <Lines>0</Lines>
  <Paragraphs>0</Paragraphs>
  <TotalTime>0</TotalTime>
  <ScaleCrop>false</ScaleCrop>
  <LinksUpToDate>false</LinksUpToDate>
  <CharactersWithSpaces>1035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2026-01-20T02:21:00Z</dcterms:created>
  <dc:creator>user062</dc:creator>
  <cp:lastModifiedBy>TR. 饰界小屋</cp:lastModifiedBy>
  <cp:lastPrinted>2026-02-28T15:59:40Z</cp:lastPrinted>
  <dcterms:modified xsi:type="dcterms:W3CDTF">2026-03-02T08:18:11Z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6D397B42779E414195BB05804C1E4A33_13</vt:lpwstr>
  </property>
</Properties>
</file>